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CF" w:rsidRDefault="006930CF"/>
    <w:p w:rsidR="005473D1" w:rsidRPr="005473D1" w:rsidRDefault="005473D1">
      <w:pPr>
        <w:rPr>
          <w:rFonts w:ascii="Times New Roman" w:hAnsi="Times New Roman"/>
        </w:rPr>
      </w:pPr>
    </w:p>
    <w:p w:rsidR="005473D1" w:rsidRPr="005473D1" w:rsidRDefault="005473D1" w:rsidP="005473D1">
      <w:pPr>
        <w:rPr>
          <w:rFonts w:ascii="Times New Roman" w:hAnsi="Times New Roman"/>
        </w:rPr>
      </w:pPr>
    </w:p>
    <w:p w:rsidR="00713753" w:rsidRPr="00612A2A" w:rsidRDefault="00713753" w:rsidP="00713753">
      <w:pPr>
        <w:rPr>
          <w:rFonts w:ascii="Times New Roman" w:hAnsi="Times New Roman"/>
          <w:sz w:val="20"/>
          <w:szCs w:val="20"/>
        </w:rPr>
      </w:pPr>
      <w:bookmarkStart w:id="0" w:name="_GoBack"/>
      <w:bookmarkEnd w:id="0"/>
      <w:r w:rsidRPr="009976F5">
        <w:rPr>
          <w:rFonts w:ascii="Times New Roman" w:hAnsi="Times New Roman"/>
          <w:b/>
          <w:sz w:val="20"/>
          <w:szCs w:val="20"/>
        </w:rPr>
        <w:t>Son Başvuru Tarihi:</w:t>
      </w:r>
      <w:r w:rsidRPr="00612A2A">
        <w:rPr>
          <w:rFonts w:ascii="Times New Roman" w:hAnsi="Times New Roman"/>
          <w:sz w:val="20"/>
          <w:szCs w:val="20"/>
        </w:rPr>
        <w:t xml:space="preserve"> </w:t>
      </w:r>
      <w:r>
        <w:rPr>
          <w:rFonts w:ascii="Times New Roman" w:hAnsi="Times New Roman"/>
          <w:sz w:val="20"/>
          <w:szCs w:val="20"/>
        </w:rPr>
        <w:t>D</w:t>
      </w:r>
      <w:r w:rsidRPr="00612A2A">
        <w:rPr>
          <w:rFonts w:ascii="Times New Roman" w:hAnsi="Times New Roman"/>
          <w:sz w:val="20"/>
          <w:szCs w:val="20"/>
        </w:rPr>
        <w:t xml:space="preserve">uyurunun yayım tarihinden itibaren 15 (onbeş) gündür. Süresi içinde yapılmayan başvurularla, eksik belgeli dosyalar kabul edilmeyecektir.  </w:t>
      </w:r>
    </w:p>
    <w:p w:rsidR="00713753" w:rsidRPr="00612A2A" w:rsidRDefault="00713753" w:rsidP="00713753">
      <w:pPr>
        <w:jc w:val="both"/>
        <w:rPr>
          <w:rFonts w:ascii="Times New Roman" w:hAnsi="Times New Roman"/>
          <w:sz w:val="20"/>
          <w:szCs w:val="20"/>
        </w:rPr>
      </w:pPr>
      <w:r w:rsidRPr="00612A2A">
        <w:rPr>
          <w:rFonts w:ascii="Times New Roman" w:hAnsi="Times New Roman"/>
          <w:sz w:val="20"/>
          <w:szCs w:val="20"/>
        </w:rPr>
        <w:t>Üniversitemizin aşağıda belirtilen birimlerine, “2547 Sayılı Kanun ile Öğretim Üyeliğine Yükseltme ve Atanma Yönetmeliği’nin ilgili maddelerine ve “Başkent Üniversitesi Öğretim Üyesi Atama ve Yükseltme Yönerges</w:t>
      </w:r>
      <w:r w:rsidRPr="009976F5">
        <w:rPr>
          <w:rFonts w:ascii="Times New Roman" w:hAnsi="Times New Roman"/>
        </w:rPr>
        <w:t>i”</w:t>
      </w:r>
      <w:r w:rsidRPr="009976F5">
        <w:rPr>
          <w:rFonts w:ascii="Times New Roman" w:hAnsi="Times New Roman"/>
          <w:sz w:val="20"/>
          <w:szCs w:val="20"/>
        </w:rPr>
        <w:t xml:space="preserve">nde </w:t>
      </w:r>
      <w:r>
        <w:rPr>
          <w:rFonts w:ascii="Times New Roman" w:hAnsi="Times New Roman"/>
          <w:sz w:val="20"/>
          <w:szCs w:val="20"/>
        </w:rPr>
        <w:t>(</w:t>
      </w:r>
      <w:hyperlink r:id="rId4" w:history="1">
        <w:r w:rsidRPr="009976F5">
          <w:rPr>
            <w:rStyle w:val="Kpr"/>
            <w:rFonts w:ascii="Times New Roman" w:hAnsi="Times New Roman"/>
            <w:sz w:val="20"/>
            <w:szCs w:val="20"/>
          </w:rPr>
          <w:t>https://www.baskent.edu.tr/belgeler/mevzuat/yonerge/oatama_yong_260319.pdf</w:t>
        </w:r>
      </w:hyperlink>
      <w:r>
        <w:rPr>
          <w:rFonts w:ascii="Times New Roman" w:hAnsi="Times New Roman"/>
          <w:sz w:val="20"/>
          <w:szCs w:val="20"/>
        </w:rPr>
        <w:t>)</w:t>
      </w:r>
      <w:r>
        <w:t xml:space="preserve"> </w:t>
      </w:r>
      <w:r w:rsidRPr="00612A2A">
        <w:rPr>
          <w:rFonts w:ascii="Times New Roman" w:hAnsi="Times New Roman"/>
          <w:sz w:val="20"/>
          <w:szCs w:val="20"/>
        </w:rPr>
        <w:t xml:space="preserve"> belirtilen kriterlerine uygun öğretim üyesi alınacaktır.  </w:t>
      </w:r>
    </w:p>
    <w:p w:rsidR="005473D1" w:rsidRPr="005473D1" w:rsidRDefault="005473D1" w:rsidP="005473D1">
      <w:pPr>
        <w:tabs>
          <w:tab w:val="left" w:pos="5040"/>
        </w:tabs>
        <w:spacing w:after="0"/>
        <w:rPr>
          <w:rFonts w:ascii="Times New Roman" w:hAnsi="Times New Roman"/>
          <w:b/>
          <w:sz w:val="18"/>
          <w:szCs w:val="18"/>
        </w:rPr>
      </w:pPr>
    </w:p>
    <w:p w:rsidR="005473D1" w:rsidRPr="005473D1" w:rsidRDefault="005473D1" w:rsidP="005473D1">
      <w:pPr>
        <w:tabs>
          <w:tab w:val="left" w:pos="5040"/>
        </w:tabs>
        <w:spacing w:after="0"/>
        <w:rPr>
          <w:rFonts w:ascii="Times New Roman" w:hAnsi="Times New Roman"/>
          <w:b/>
          <w:sz w:val="18"/>
          <w:szCs w:val="18"/>
        </w:rPr>
      </w:pPr>
    </w:p>
    <w:p w:rsidR="00713753" w:rsidRPr="00DC5999" w:rsidRDefault="00713753" w:rsidP="00713753">
      <w:pPr>
        <w:jc w:val="both"/>
        <w:rPr>
          <w:rFonts w:ascii="Times New Roman" w:hAnsi="Times New Roman"/>
          <w:b/>
          <w:sz w:val="20"/>
          <w:szCs w:val="20"/>
        </w:rPr>
      </w:pPr>
      <w:r w:rsidRPr="00DC5999">
        <w:rPr>
          <w:rFonts w:ascii="Times New Roman" w:hAnsi="Times New Roman"/>
          <w:b/>
          <w:sz w:val="20"/>
          <w:szCs w:val="20"/>
        </w:rPr>
        <w:t xml:space="preserve">DR.ÖĞR. ÜYELERİ: </w:t>
      </w:r>
    </w:p>
    <w:p w:rsidR="00713753" w:rsidRPr="00612A2A" w:rsidRDefault="00713753" w:rsidP="00713753">
      <w:pPr>
        <w:jc w:val="both"/>
        <w:rPr>
          <w:rFonts w:ascii="Times New Roman" w:hAnsi="Times New Roman"/>
          <w:sz w:val="20"/>
          <w:szCs w:val="20"/>
        </w:rPr>
      </w:pPr>
      <w:r w:rsidRPr="00612A2A">
        <w:rPr>
          <w:rFonts w:ascii="Times New Roman" w:hAnsi="Times New Roman"/>
          <w:sz w:val="20"/>
          <w:szCs w:val="20"/>
        </w:rPr>
        <w:t xml:space="preserve">Dr. Öğretim Üyesi Kadrolarına başvuracak adayların; başvurdukları birim ve anabilim dalını belirten dilekçelerine 1 (bir) adet fotoğraf ile birlikte Elektronik ortamda CD’ye basılı olarak hazırlanan 4 (dört) adet elektronik dosya ile (nüfus cüzdanı örneği, diplomaların onaylı fotokopileri, onaylı doktora YÖK formatında hazırlanmış veya YÖKSİS’den alınan özgeçmiş (fotoğraflı), onaylı doktora ve doçentlik belgesi, başlıca araştırma eserinin açıkça belirtildiği yayın listesi, bilimsel çalışma ve yayınlar), ilgili Fakülte Dekanlığı / MYO / YO Müdürlüğüne şahsen başvurmaları gerekmektedir. Elektronik dosyada aday tarafından doldurularak detaylı puanlandırılmış Başkent Üniversitesi Öğretim Üyeliğine Atama ve Yükseltme Ölçütleri İçin Puanlama Çizelgesi ve bu puanlamada kullanılan her türlü ölçüt için kanıt oluşturacak belgeler yer almalıdır. %100 İngilizce programlara başvurularda Yükseköğretim Kurulu tarafından kabul edilen merkezi yabancı dil sınavından (YDS) en az 80 puan veya eşdeğerliği ÖSYM tarafından kabul edilen bir sınavdan bu puan muadili bir puana sahip olmak gerekmektedir.  </w:t>
      </w:r>
    </w:p>
    <w:p w:rsidR="005473D1" w:rsidRPr="005473D1" w:rsidRDefault="005473D1" w:rsidP="005473D1">
      <w:pPr>
        <w:jc w:val="both"/>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701"/>
        <w:gridCol w:w="8676"/>
      </w:tblGrid>
      <w:tr w:rsidR="005473D1" w:rsidRPr="005473D1" w:rsidTr="007D193A">
        <w:tc>
          <w:tcPr>
            <w:tcW w:w="2518" w:type="dxa"/>
            <w:shd w:val="clear" w:color="auto" w:fill="auto"/>
          </w:tcPr>
          <w:p w:rsidR="005473D1" w:rsidRPr="005473D1" w:rsidRDefault="005473D1" w:rsidP="007D193A">
            <w:pPr>
              <w:spacing w:after="0" w:line="240" w:lineRule="auto"/>
              <w:rPr>
                <w:rFonts w:ascii="Times New Roman" w:hAnsi="Times New Roman"/>
              </w:rPr>
            </w:pPr>
            <w:r w:rsidRPr="005473D1">
              <w:rPr>
                <w:rFonts w:ascii="Times New Roman" w:hAnsi="Times New Roman"/>
              </w:rPr>
              <w:t>Fakülte</w:t>
            </w:r>
          </w:p>
        </w:tc>
        <w:tc>
          <w:tcPr>
            <w:tcW w:w="1701" w:type="dxa"/>
            <w:shd w:val="clear" w:color="auto" w:fill="auto"/>
          </w:tcPr>
          <w:p w:rsidR="005473D1" w:rsidRPr="005473D1" w:rsidRDefault="005473D1" w:rsidP="007D193A">
            <w:pPr>
              <w:spacing w:after="0" w:line="240" w:lineRule="auto"/>
              <w:rPr>
                <w:rFonts w:ascii="Times New Roman" w:hAnsi="Times New Roman"/>
              </w:rPr>
            </w:pPr>
            <w:r w:rsidRPr="005473D1">
              <w:rPr>
                <w:rFonts w:ascii="Times New Roman" w:hAnsi="Times New Roman"/>
              </w:rPr>
              <w:t>Bölüm</w:t>
            </w:r>
          </w:p>
        </w:tc>
        <w:tc>
          <w:tcPr>
            <w:tcW w:w="1701" w:type="dxa"/>
            <w:shd w:val="clear" w:color="auto" w:fill="auto"/>
          </w:tcPr>
          <w:p w:rsidR="005473D1" w:rsidRPr="005473D1" w:rsidRDefault="005473D1" w:rsidP="007D193A">
            <w:pPr>
              <w:spacing w:after="0" w:line="240" w:lineRule="auto"/>
              <w:jc w:val="center"/>
              <w:rPr>
                <w:rFonts w:ascii="Times New Roman" w:hAnsi="Times New Roman"/>
              </w:rPr>
            </w:pPr>
            <w:r w:rsidRPr="005473D1">
              <w:rPr>
                <w:rFonts w:ascii="Times New Roman" w:hAnsi="Times New Roman"/>
              </w:rPr>
              <w:t>Kadro Unvanı ve Sayısı</w:t>
            </w:r>
          </w:p>
        </w:tc>
        <w:tc>
          <w:tcPr>
            <w:tcW w:w="8676" w:type="dxa"/>
            <w:shd w:val="clear" w:color="auto" w:fill="auto"/>
          </w:tcPr>
          <w:p w:rsidR="005473D1" w:rsidRPr="005473D1" w:rsidRDefault="005473D1" w:rsidP="007D193A">
            <w:pPr>
              <w:spacing w:after="0" w:line="240" w:lineRule="auto"/>
              <w:jc w:val="center"/>
              <w:rPr>
                <w:rFonts w:ascii="Times New Roman" w:hAnsi="Times New Roman"/>
              </w:rPr>
            </w:pPr>
            <w:r w:rsidRPr="005473D1">
              <w:rPr>
                <w:rFonts w:ascii="Times New Roman" w:hAnsi="Times New Roman"/>
              </w:rPr>
              <w:t>Açıklama</w:t>
            </w:r>
          </w:p>
        </w:tc>
      </w:tr>
      <w:tr w:rsidR="005473D1" w:rsidRPr="005473D1" w:rsidTr="007D193A">
        <w:tc>
          <w:tcPr>
            <w:tcW w:w="2518" w:type="dxa"/>
            <w:shd w:val="clear" w:color="auto" w:fill="auto"/>
          </w:tcPr>
          <w:p w:rsidR="005473D1" w:rsidRPr="005473D1" w:rsidRDefault="005473D1" w:rsidP="007D193A">
            <w:pPr>
              <w:spacing w:after="0" w:line="240" w:lineRule="auto"/>
              <w:rPr>
                <w:rFonts w:ascii="Times New Roman" w:hAnsi="Times New Roman"/>
              </w:rPr>
            </w:pPr>
            <w:r w:rsidRPr="005473D1">
              <w:rPr>
                <w:rFonts w:ascii="Times New Roman" w:hAnsi="Times New Roman"/>
              </w:rPr>
              <w:t>İktisadi ve İdari Bilimler Fakültesi</w:t>
            </w:r>
          </w:p>
        </w:tc>
        <w:tc>
          <w:tcPr>
            <w:tcW w:w="1701" w:type="dxa"/>
            <w:shd w:val="clear" w:color="auto" w:fill="auto"/>
          </w:tcPr>
          <w:p w:rsidR="005473D1" w:rsidRPr="005473D1" w:rsidRDefault="005473D1" w:rsidP="005473D1">
            <w:pPr>
              <w:spacing w:after="0" w:line="240" w:lineRule="auto"/>
              <w:rPr>
                <w:rFonts w:ascii="Times New Roman" w:hAnsi="Times New Roman"/>
              </w:rPr>
            </w:pPr>
            <w:r w:rsidRPr="005473D1">
              <w:rPr>
                <w:rFonts w:ascii="Times New Roman" w:hAnsi="Times New Roman"/>
              </w:rPr>
              <w:t>Teknoloji ve Bilgi Yönetimi</w:t>
            </w:r>
          </w:p>
        </w:tc>
        <w:tc>
          <w:tcPr>
            <w:tcW w:w="1701" w:type="dxa"/>
            <w:shd w:val="clear" w:color="auto" w:fill="auto"/>
          </w:tcPr>
          <w:p w:rsidR="005473D1" w:rsidRPr="005473D1" w:rsidRDefault="005473D1" w:rsidP="007D193A">
            <w:pPr>
              <w:spacing w:after="0" w:line="240" w:lineRule="auto"/>
              <w:jc w:val="center"/>
              <w:rPr>
                <w:rFonts w:ascii="Times New Roman" w:hAnsi="Times New Roman"/>
              </w:rPr>
            </w:pPr>
            <w:r w:rsidRPr="005473D1">
              <w:rPr>
                <w:rFonts w:ascii="Times New Roman" w:hAnsi="Times New Roman"/>
              </w:rPr>
              <w:t xml:space="preserve">Dr. Öğr. Üyesi. </w:t>
            </w:r>
          </w:p>
          <w:p w:rsidR="005473D1" w:rsidRPr="005473D1" w:rsidRDefault="005473D1" w:rsidP="007D193A">
            <w:pPr>
              <w:spacing w:after="0" w:line="240" w:lineRule="auto"/>
              <w:jc w:val="center"/>
              <w:rPr>
                <w:rFonts w:ascii="Times New Roman" w:hAnsi="Times New Roman"/>
              </w:rPr>
            </w:pPr>
            <w:r w:rsidRPr="005473D1">
              <w:rPr>
                <w:rFonts w:ascii="Times New Roman" w:hAnsi="Times New Roman"/>
              </w:rPr>
              <w:t>(1)</w:t>
            </w:r>
          </w:p>
        </w:tc>
        <w:tc>
          <w:tcPr>
            <w:tcW w:w="8676" w:type="dxa"/>
            <w:shd w:val="clear" w:color="auto" w:fill="auto"/>
          </w:tcPr>
          <w:p w:rsidR="005473D1" w:rsidRPr="005473D1" w:rsidRDefault="005473D1" w:rsidP="005473D1">
            <w:pPr>
              <w:jc w:val="both"/>
              <w:rPr>
                <w:rFonts w:ascii="Times New Roman" w:hAnsi="Times New Roman"/>
              </w:rPr>
            </w:pPr>
            <w:r w:rsidRPr="005473D1">
              <w:rPr>
                <w:rFonts w:ascii="Times New Roman" w:hAnsi="Times New Roman"/>
              </w:rPr>
              <w:t>Yüksek lisans ve doktora derecelerini Bilişim Sistemleri alanında almış olmak; Teknoloji Kabulü ve eğitim alanında  çalışmalar yapıyor olmak.</w:t>
            </w:r>
          </w:p>
        </w:tc>
      </w:tr>
    </w:tbl>
    <w:p w:rsidR="005473D1" w:rsidRPr="005473D1" w:rsidRDefault="005473D1">
      <w:pPr>
        <w:rPr>
          <w:rFonts w:ascii="Times New Roman" w:hAnsi="Times New Roman"/>
        </w:rPr>
      </w:pPr>
    </w:p>
    <w:sectPr w:rsidR="005473D1" w:rsidRPr="005473D1" w:rsidSect="005473D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D1"/>
    <w:rsid w:val="002B4B10"/>
    <w:rsid w:val="005473D1"/>
    <w:rsid w:val="006930CF"/>
    <w:rsid w:val="00713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6C0D8-1785-4893-A186-BFA5ECF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D1"/>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71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skent.edu.tr/belgeler/mevzuat/yonerge/oatama_yong_260319.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 Fak-Sek</dc:creator>
  <cp:keywords/>
  <dc:description/>
  <cp:lastModifiedBy>İİBF Fak-Sek</cp:lastModifiedBy>
  <cp:revision>3</cp:revision>
  <dcterms:created xsi:type="dcterms:W3CDTF">2019-11-01T11:05:00Z</dcterms:created>
  <dcterms:modified xsi:type="dcterms:W3CDTF">2019-11-14T12:13:00Z</dcterms:modified>
</cp:coreProperties>
</file>